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F65074" w:rsidT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65074">
              <w:trPr>
                <w:trHeight w:val="75"/>
              </w:trPr>
              <w:tc>
                <w:tcPr>
                  <w:tcW w:w="300" w:type="dxa"/>
                  <w:shd w:val="clear" w:color="auto" w:fill="CCD6DC"/>
                  <w:vAlign w:val="center"/>
                  <w:hideMark/>
                </w:tcPr>
                <w:p w:rsidR="00F65074" w:rsidRDefault="00F65074">
                  <w:pPr>
                    <w:spacing w:line="0" w:lineRule="atLeast"/>
                    <w:rPr>
                      <w:sz w:val="2"/>
                      <w:szCs w:val="2"/>
                    </w:rPr>
                  </w:pPr>
                  <w:r>
                    <w:rPr>
                      <w:sz w:val="2"/>
                      <w:szCs w:val="2"/>
                    </w:rPr>
                    <w:softHyphen/>
                  </w:r>
                </w:p>
              </w:tc>
              <w:tc>
                <w:tcPr>
                  <w:tcW w:w="0" w:type="auto"/>
                  <w:shd w:val="clear" w:color="auto" w:fill="CCD6DC"/>
                  <w:vAlign w:val="center"/>
                  <w:hideMark/>
                </w:tcPr>
                <w:p w:rsidR="00F65074" w:rsidRDefault="00F65074">
                  <w:pPr>
                    <w:spacing w:line="0" w:lineRule="atLeast"/>
                    <w:rPr>
                      <w:sz w:val="2"/>
                      <w:szCs w:val="2"/>
                    </w:rPr>
                  </w:pPr>
                  <w:r>
                    <w:rPr>
                      <w:sz w:val="2"/>
                      <w:szCs w:val="2"/>
                    </w:rPr>
                    <w:softHyphen/>
                  </w:r>
                </w:p>
              </w:tc>
              <w:tc>
                <w:tcPr>
                  <w:tcW w:w="300" w:type="dxa"/>
                  <w:shd w:val="clear" w:color="auto" w:fill="CCD6DC"/>
                  <w:vAlign w:val="center"/>
                  <w:hideMark/>
                </w:tcPr>
                <w:p w:rsidR="00F65074" w:rsidRDefault="00F65074">
                  <w:pPr>
                    <w:spacing w:line="0" w:lineRule="atLeast"/>
                    <w:rPr>
                      <w:sz w:val="2"/>
                      <w:szCs w:val="2"/>
                    </w:rPr>
                  </w:pPr>
                  <w:r>
                    <w:rPr>
                      <w:sz w:val="2"/>
                      <w:szCs w:val="2"/>
                    </w:rPr>
                    <w:softHyphen/>
                  </w:r>
                </w:p>
              </w:tc>
            </w:tr>
            <w:tr w:rsidR="00F65074">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60"/>
                  </w:tblGrid>
                  <w:tr w:rsidR="00F65074" w:rsidRP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8760"/>
                        </w:tblGrid>
                        <w:tr w:rsidR="00F65074">
                          <w:trPr>
                            <w:trHeight w:val="375"/>
                          </w:trPr>
                          <w:tc>
                            <w:tcPr>
                              <w:tcW w:w="0" w:type="auto"/>
                              <w:vAlign w:val="center"/>
                              <w:hideMark/>
                            </w:tcPr>
                            <w:p w:rsidR="00F65074" w:rsidRDefault="00F65074">
                              <w:pPr>
                                <w:spacing w:line="0" w:lineRule="atLeast"/>
                                <w:rPr>
                                  <w:sz w:val="2"/>
                                  <w:szCs w:val="2"/>
                                </w:rPr>
                              </w:pPr>
                              <w:r>
                                <w:rPr>
                                  <w:sz w:val="2"/>
                                  <w:szCs w:val="2"/>
                                </w:rPr>
                                <w:softHyphen/>
                              </w:r>
                            </w:p>
                          </w:tc>
                        </w:tr>
                        <w:tr w:rsidR="00F65074" w:rsidRPr="00F65074">
                          <w:tc>
                            <w:tcPr>
                              <w:tcW w:w="0" w:type="auto"/>
                              <w:hideMark/>
                            </w:tcPr>
                            <w:p w:rsidR="00F65074" w:rsidRPr="00F65074" w:rsidRDefault="00F65074">
                              <w:pPr>
                                <w:spacing w:line="270" w:lineRule="exact"/>
                                <w:rPr>
                                  <w:rFonts w:ascii="Arial" w:hAnsi="Arial" w:cs="Arial"/>
                                  <w:color w:val="373737"/>
                                  <w:sz w:val="18"/>
                                  <w:szCs w:val="18"/>
                                  <w:lang w:val="de-DE"/>
                                </w:rPr>
                              </w:pPr>
                              <w:bookmarkStart w:id="0" w:name="Beurlaubung"/>
                              <w:r w:rsidRPr="00F65074">
                                <w:rPr>
                                  <w:rFonts w:ascii="Arial" w:hAnsi="Arial" w:cs="Arial"/>
                                  <w:b/>
                                  <w:bCs/>
                                  <w:color w:val="373737"/>
                                  <w:sz w:val="18"/>
                                  <w:szCs w:val="18"/>
                                  <w:lang w:val="de-DE"/>
                                </w:rPr>
                                <w:t>Beurlaubung vom Unterricht anlässlich von Gedenktagen oder Veranstaltungen von Religions- oder Weltanschauungsgemeinschaften nach § 4 Abs. 2 Ziffer 2 Schulbesuchsverordnung im Schuljahr 2017/2018</w:t>
                              </w:r>
                              <w:bookmarkEnd w:id="0"/>
                              <w:r w:rsidRPr="00F65074">
                                <w:rPr>
                                  <w:rFonts w:ascii="Arial" w:hAnsi="Arial" w:cs="Arial"/>
                                  <w:color w:val="373737"/>
                                  <w:sz w:val="18"/>
                                  <w:szCs w:val="18"/>
                                  <w:lang w:val="de-DE"/>
                                </w:rPr>
                                <w:t xml:space="preserve"> </w:t>
                              </w:r>
                            </w:p>
                          </w:tc>
                        </w:tr>
                      </w:tbl>
                      <w:p w:rsidR="00F65074" w:rsidRPr="00F65074" w:rsidRDefault="00F65074">
                        <w:pPr>
                          <w:rPr>
                            <w:rFonts w:asciiTheme="minorHAnsi" w:hAnsiTheme="minorHAnsi" w:cstheme="minorBidi"/>
                            <w:sz w:val="22"/>
                            <w:szCs w:val="22"/>
                            <w:lang w:val="de-DE"/>
                          </w:rPr>
                        </w:pPr>
                      </w:p>
                    </w:tc>
                  </w:tr>
                  <w:tr w:rsidR="00F65074" w:rsidRP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8760"/>
                        </w:tblGrid>
                        <w:tr w:rsidR="00F65074">
                          <w:trPr>
                            <w:trHeight w:val="75"/>
                          </w:trPr>
                          <w:tc>
                            <w:tcPr>
                              <w:tcW w:w="0" w:type="auto"/>
                              <w:vAlign w:val="center"/>
                              <w:hideMark/>
                            </w:tcPr>
                            <w:p w:rsidR="00F65074" w:rsidRDefault="00F65074">
                              <w:pPr>
                                <w:spacing w:line="0" w:lineRule="atLeast"/>
                                <w:rPr>
                                  <w:sz w:val="2"/>
                                  <w:szCs w:val="2"/>
                                </w:rPr>
                              </w:pPr>
                              <w:r>
                                <w:rPr>
                                  <w:sz w:val="2"/>
                                  <w:szCs w:val="2"/>
                                </w:rPr>
                                <w:softHyphen/>
                              </w:r>
                            </w:p>
                          </w:tc>
                        </w:tr>
                        <w:tr w:rsidR="00F65074" w:rsidRPr="00F65074">
                          <w:tc>
                            <w:tcPr>
                              <w:tcW w:w="0" w:type="auto"/>
                              <w:hideMark/>
                            </w:tcPr>
                            <w:p w:rsidR="00F65074" w:rsidRPr="00F65074" w:rsidRDefault="00F65074">
                              <w:pPr>
                                <w:spacing w:line="270" w:lineRule="exact"/>
                                <w:rPr>
                                  <w:rFonts w:ascii="Arial" w:hAnsi="Arial" w:cs="Arial"/>
                                  <w:color w:val="373737"/>
                                  <w:sz w:val="18"/>
                                  <w:szCs w:val="18"/>
                                  <w:lang w:val="de-DE"/>
                                </w:rPr>
                              </w:pPr>
                              <w:r w:rsidRPr="00F65074">
                                <w:rPr>
                                  <w:rFonts w:ascii="Arial" w:hAnsi="Arial" w:cs="Arial"/>
                                  <w:color w:val="373737"/>
                                  <w:sz w:val="18"/>
                                  <w:szCs w:val="18"/>
                                  <w:lang w:val="de-DE"/>
                                </w:rPr>
                                <w:t xml:space="preserve">Gemäß Ziffer V. der Anlage zu § 4 Abs. 2 Nr. 1 und 2 der Verordnung des Kultusministeriums über die Pflicht zur Teilnahme am Unterricht und sonstigen Schulveranstaltungen (Schulbesuchsverordnung) werden Schülerinnen und Schüler der jüdischen Religionsgemeinschaft am jüdischen Neujahrsfest zwei Tage, am Versöhnungsfest einen Tag, am Laubhüttenfest zwei Tage, am Beschlussfest zwei Tage, am Passahfest die zwei ersten und zwei letzten Tage und am jüdischen Pfingstfest zwei Tage beurlaubt. Im Schuljahr 2017/2018 handelt es sich dabei um die folgenden Tage: </w:t>
                              </w:r>
                            </w:p>
                          </w:tc>
                        </w:tr>
                      </w:tbl>
                      <w:p w:rsidR="00F65074" w:rsidRPr="00F65074" w:rsidRDefault="00F65074">
                        <w:pPr>
                          <w:rPr>
                            <w:rFonts w:asciiTheme="minorHAnsi" w:hAnsiTheme="minorHAnsi" w:cstheme="minorBidi"/>
                            <w:sz w:val="22"/>
                            <w:szCs w:val="22"/>
                            <w:lang w:val="de-DE"/>
                          </w:rPr>
                        </w:pPr>
                      </w:p>
                    </w:tc>
                  </w:tr>
                </w:tbl>
                <w:p w:rsidR="00F65074" w:rsidRPr="00F65074" w:rsidRDefault="00F65074">
                  <w:pPr>
                    <w:rPr>
                      <w:rFonts w:asciiTheme="minorHAnsi" w:hAnsiTheme="minorHAnsi" w:cstheme="minorBidi"/>
                      <w:sz w:val="22"/>
                      <w:szCs w:val="22"/>
                      <w:lang w:val="de-DE"/>
                    </w:rPr>
                  </w:pP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r w:rsidR="00F65074" w:rsidT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65074">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36"/>
                    <w:gridCol w:w="4224"/>
                  </w:tblGrid>
                  <w:tr w:rsidR="00F65074">
                    <w:tc>
                      <w:tcPr>
                        <w:tcW w:w="4350" w:type="dxa"/>
                        <w:hideMark/>
                      </w:tcPr>
                      <w:tbl>
                        <w:tblPr>
                          <w:tblW w:w="5000" w:type="pct"/>
                          <w:tblCellMar>
                            <w:left w:w="0" w:type="dxa"/>
                            <w:right w:w="0" w:type="dxa"/>
                          </w:tblCellMar>
                          <w:tblLook w:val="04A0" w:firstRow="1" w:lastRow="0" w:firstColumn="1" w:lastColumn="0" w:noHBand="0" w:noVBand="1"/>
                        </w:tblPr>
                        <w:tblGrid>
                          <w:gridCol w:w="4236"/>
                          <w:gridCol w:w="300"/>
                        </w:tblGrid>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c>
                            <w:tcPr>
                              <w:tcW w:w="300" w:type="dxa"/>
                              <w:vAlign w:val="center"/>
                              <w:hideMark/>
                            </w:tcPr>
                            <w:p w:rsidR="00F65074" w:rsidRDefault="00F65074">
                              <w:pPr>
                                <w:spacing w:line="0" w:lineRule="atLeast"/>
                                <w:rPr>
                                  <w:sz w:val="2"/>
                                  <w:szCs w:val="2"/>
                                </w:rPr>
                              </w:pPr>
                              <w:r>
                                <w:rPr>
                                  <w:sz w:val="2"/>
                                  <w:szCs w:val="2"/>
                                </w:rPr>
                                <w:softHyphen/>
                              </w:r>
                            </w:p>
                          </w:tc>
                        </w:tr>
                        <w:tr w:rsidR="00F65074">
                          <w:tc>
                            <w:tcPr>
                              <w:tcW w:w="0" w:type="auto"/>
                              <w:hideMark/>
                            </w:tcPr>
                            <w:tbl>
                              <w:tblPr>
                                <w:tblW w:w="5000" w:type="pct"/>
                                <w:tblCellMar>
                                  <w:left w:w="0" w:type="dxa"/>
                                  <w:right w:w="0" w:type="dxa"/>
                                </w:tblCellMar>
                                <w:tblLook w:val="04A0" w:firstRow="1" w:lastRow="0" w:firstColumn="1" w:lastColumn="0" w:noHBand="0" w:noVBand="1"/>
                              </w:tblPr>
                              <w:tblGrid>
                                <w:gridCol w:w="4236"/>
                              </w:tblGrid>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4236"/>
                                    </w:tblGrid>
                                    <w:tr w:rsidR="00F65074">
                                      <w:tc>
                                        <w:tcPr>
                                          <w:tcW w:w="0" w:type="auto"/>
                                          <w:hideMark/>
                                        </w:tcPr>
                                        <w:p w:rsidR="00F65074" w:rsidRDefault="00F65074">
                                          <w:pPr>
                                            <w:spacing w:line="270" w:lineRule="exact"/>
                                            <w:rPr>
                                              <w:rFonts w:ascii="Arial" w:hAnsi="Arial" w:cs="Arial"/>
                                              <w:color w:val="373737"/>
                                              <w:sz w:val="18"/>
                                              <w:szCs w:val="18"/>
                                            </w:rPr>
                                          </w:pPr>
                                          <w:proofErr w:type="spellStart"/>
                                          <w:r>
                                            <w:rPr>
                                              <w:rFonts w:ascii="Arial" w:hAnsi="Arial" w:cs="Arial"/>
                                              <w:color w:val="373737"/>
                                              <w:sz w:val="18"/>
                                              <w:szCs w:val="18"/>
                                            </w:rPr>
                                            <w:t>Versöhnungstag</w:t>
                                          </w:r>
                                          <w:proofErr w:type="spellEnd"/>
                                          <w:r>
                                            <w:rPr>
                                              <w:rFonts w:ascii="Arial" w:hAnsi="Arial" w:cs="Arial"/>
                                              <w:color w:val="373737"/>
                                              <w:sz w:val="18"/>
                                              <w:szCs w:val="18"/>
                                            </w:rPr>
                                            <w:t xml:space="preserve"> (</w:t>
                                          </w:r>
                                          <w:proofErr w:type="spellStart"/>
                                          <w:r>
                                            <w:rPr>
                                              <w:rFonts w:ascii="Arial" w:hAnsi="Arial" w:cs="Arial"/>
                                              <w:color w:val="373737"/>
                                              <w:sz w:val="18"/>
                                              <w:szCs w:val="18"/>
                                            </w:rPr>
                                            <w:t>Jom</w:t>
                                          </w:r>
                                          <w:proofErr w:type="spellEnd"/>
                                          <w:r>
                                            <w:rPr>
                                              <w:rFonts w:ascii="Arial" w:hAnsi="Arial" w:cs="Arial"/>
                                              <w:color w:val="373737"/>
                                              <w:sz w:val="18"/>
                                              <w:szCs w:val="18"/>
                                            </w:rPr>
                                            <w:t xml:space="preserve"> Kippur)</w:t>
                                          </w:r>
                                          <w:r>
                                            <w:rPr>
                                              <w:rFonts w:ascii="Arial" w:hAnsi="Arial" w:cs="Arial"/>
                                              <w:color w:val="373737"/>
                                              <w:sz w:val="18"/>
                                              <w:szCs w:val="18"/>
                                            </w:rPr>
                                            <w:br/>
                                          </w:r>
                                          <w:proofErr w:type="spellStart"/>
                                          <w:r>
                                            <w:rPr>
                                              <w:rFonts w:ascii="Arial" w:hAnsi="Arial" w:cs="Arial"/>
                                              <w:color w:val="373737"/>
                                              <w:sz w:val="18"/>
                                              <w:szCs w:val="18"/>
                                            </w:rPr>
                                            <w:t>Jüdisches</w:t>
                                          </w:r>
                                          <w:proofErr w:type="spellEnd"/>
                                          <w:r>
                                            <w:rPr>
                                              <w:rFonts w:ascii="Arial" w:hAnsi="Arial" w:cs="Arial"/>
                                              <w:color w:val="373737"/>
                                              <w:sz w:val="18"/>
                                              <w:szCs w:val="18"/>
                                            </w:rPr>
                                            <w:t xml:space="preserve"> </w:t>
                                          </w:r>
                                          <w:proofErr w:type="spellStart"/>
                                          <w:r>
                                            <w:rPr>
                                              <w:rFonts w:ascii="Arial" w:hAnsi="Arial" w:cs="Arial"/>
                                              <w:color w:val="373737"/>
                                              <w:sz w:val="18"/>
                                              <w:szCs w:val="18"/>
                                            </w:rPr>
                                            <w:t>Neujahrsfest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Rosch</w:t>
                                          </w:r>
                                          <w:proofErr w:type="spellEnd"/>
                                          <w:r>
                                            <w:rPr>
                                              <w:rFonts w:ascii="Arial" w:hAnsi="Arial" w:cs="Arial"/>
                                              <w:color w:val="373737"/>
                                              <w:sz w:val="18"/>
                                              <w:szCs w:val="18"/>
                                            </w:rPr>
                                            <w:t xml:space="preserve"> </w:t>
                                          </w:r>
                                          <w:proofErr w:type="spellStart"/>
                                          <w:r>
                                            <w:rPr>
                                              <w:rFonts w:ascii="Arial" w:hAnsi="Arial" w:cs="Arial"/>
                                              <w:color w:val="373737"/>
                                              <w:sz w:val="18"/>
                                              <w:szCs w:val="18"/>
                                            </w:rPr>
                                            <w:t>Haschanah</w:t>
                                          </w:r>
                                          <w:proofErr w:type="spellEnd"/>
                                          <w:r>
                                            <w:rPr>
                                              <w:rFonts w:ascii="Arial" w:hAnsi="Arial" w:cs="Arial"/>
                                              <w:color w:val="373737"/>
                                              <w:sz w:val="18"/>
                                              <w:szCs w:val="18"/>
                                            </w:rPr>
                                            <w:t>)</w:t>
                                          </w:r>
                                          <w:r>
                                            <w:rPr>
                                              <w:rFonts w:ascii="Arial" w:hAnsi="Arial" w:cs="Arial"/>
                                              <w:color w:val="373737"/>
                                              <w:sz w:val="18"/>
                                              <w:szCs w:val="18"/>
                                            </w:rPr>
                                            <w:br/>
                                          </w:r>
                                          <w:proofErr w:type="spellStart"/>
                                          <w:r>
                                            <w:rPr>
                                              <w:rFonts w:ascii="Arial" w:hAnsi="Arial" w:cs="Arial"/>
                                              <w:color w:val="373737"/>
                                              <w:sz w:val="18"/>
                                              <w:szCs w:val="18"/>
                                            </w:rPr>
                                            <w:t>Laubhüttenfest</w:t>
                                          </w:r>
                                          <w:proofErr w:type="spellEnd"/>
                                          <w:r>
                                            <w:rPr>
                                              <w:rFonts w:ascii="Arial" w:hAnsi="Arial" w:cs="Arial"/>
                                              <w:color w:val="373737"/>
                                              <w:sz w:val="18"/>
                                              <w:szCs w:val="18"/>
                                            </w:rPr>
                                            <w:t xml:space="preserve"> (Sukkoth)</w:t>
                                          </w:r>
                                          <w:r>
                                            <w:rPr>
                                              <w:rFonts w:ascii="Arial" w:hAnsi="Arial" w:cs="Arial"/>
                                              <w:color w:val="373737"/>
                                              <w:sz w:val="18"/>
                                              <w:szCs w:val="18"/>
                                            </w:rPr>
                                            <w:br/>
                                          </w:r>
                                          <w:proofErr w:type="spellStart"/>
                                          <w:r>
                                            <w:rPr>
                                              <w:rFonts w:ascii="Arial" w:hAnsi="Arial" w:cs="Arial"/>
                                              <w:color w:val="373737"/>
                                              <w:sz w:val="18"/>
                                              <w:szCs w:val="18"/>
                                            </w:rPr>
                                            <w:t>Schlussfest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Schemini</w:t>
                                          </w:r>
                                          <w:proofErr w:type="spellEnd"/>
                                          <w:r>
                                            <w:rPr>
                                              <w:rFonts w:ascii="Arial" w:hAnsi="Arial" w:cs="Arial"/>
                                              <w:color w:val="373737"/>
                                              <w:sz w:val="18"/>
                                              <w:szCs w:val="18"/>
                                            </w:rPr>
                                            <w:t xml:space="preserve"> </w:t>
                                          </w:r>
                                          <w:proofErr w:type="spellStart"/>
                                          <w:r>
                                            <w:rPr>
                                              <w:rFonts w:ascii="Arial" w:hAnsi="Arial" w:cs="Arial"/>
                                              <w:color w:val="373737"/>
                                              <w:sz w:val="18"/>
                                              <w:szCs w:val="18"/>
                                            </w:rPr>
                                            <w:t>Azereth</w:t>
                                          </w:r>
                                          <w:proofErr w:type="spellEnd"/>
                                          <w:r>
                                            <w:rPr>
                                              <w:rFonts w:ascii="Arial" w:hAnsi="Arial" w:cs="Arial"/>
                                              <w:color w:val="373737"/>
                                              <w:sz w:val="18"/>
                                              <w:szCs w:val="18"/>
                                            </w:rPr>
                                            <w:t>)</w:t>
                                          </w:r>
                                          <w:r>
                                            <w:rPr>
                                              <w:rFonts w:ascii="Arial" w:hAnsi="Arial" w:cs="Arial"/>
                                              <w:color w:val="373737"/>
                                              <w:sz w:val="18"/>
                                              <w:szCs w:val="18"/>
                                            </w:rPr>
                                            <w:br/>
                                          </w:r>
                                          <w:proofErr w:type="spellStart"/>
                                          <w:r>
                                            <w:rPr>
                                              <w:rFonts w:ascii="Arial" w:hAnsi="Arial" w:cs="Arial"/>
                                              <w:color w:val="373737"/>
                                              <w:sz w:val="18"/>
                                              <w:szCs w:val="18"/>
                                            </w:rPr>
                                            <w:t>Thora-Freudenfest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Simchat</w:t>
                                          </w:r>
                                          <w:proofErr w:type="spellEnd"/>
                                          <w:r>
                                            <w:rPr>
                                              <w:rFonts w:ascii="Arial" w:hAnsi="Arial" w:cs="Arial"/>
                                              <w:color w:val="373737"/>
                                              <w:sz w:val="18"/>
                                              <w:szCs w:val="18"/>
                                            </w:rPr>
                                            <w:t xml:space="preserve"> </w:t>
                                          </w:r>
                                          <w:proofErr w:type="spellStart"/>
                                          <w:r>
                                            <w:rPr>
                                              <w:rFonts w:ascii="Arial" w:hAnsi="Arial" w:cs="Arial"/>
                                              <w:color w:val="373737"/>
                                              <w:sz w:val="18"/>
                                              <w:szCs w:val="18"/>
                                            </w:rPr>
                                            <w:t>Thora</w:t>
                                          </w:r>
                                          <w:proofErr w:type="spellEnd"/>
                                          <w:r>
                                            <w:rPr>
                                              <w:rFonts w:ascii="Arial" w:hAnsi="Arial" w:cs="Arial"/>
                                              <w:color w:val="373737"/>
                                              <w:sz w:val="18"/>
                                              <w:szCs w:val="18"/>
                                            </w:rPr>
                                            <w:t>)</w:t>
                                          </w:r>
                                          <w:r>
                                            <w:rPr>
                                              <w:rFonts w:ascii="Arial" w:hAnsi="Arial" w:cs="Arial"/>
                                              <w:color w:val="373737"/>
                                              <w:sz w:val="18"/>
                                              <w:szCs w:val="18"/>
                                            </w:rPr>
                                            <w:br/>
                                          </w:r>
                                          <w:proofErr w:type="spellStart"/>
                                          <w:r>
                                            <w:rPr>
                                              <w:rFonts w:ascii="Arial" w:hAnsi="Arial" w:cs="Arial"/>
                                              <w:color w:val="373737"/>
                                              <w:sz w:val="18"/>
                                              <w:szCs w:val="18"/>
                                            </w:rPr>
                                            <w:t>Passahfest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Pessach</w:t>
                                          </w:r>
                                          <w:proofErr w:type="spellEnd"/>
                                          <w:r>
                                            <w:rPr>
                                              <w:rFonts w:ascii="Arial" w:hAnsi="Arial" w:cs="Arial"/>
                                              <w:color w:val="373737"/>
                                              <w:sz w:val="18"/>
                                              <w:szCs w:val="18"/>
                                            </w:rPr>
                                            <w:t>)        1. und 2. Tag           </w:t>
                                          </w:r>
                                          <w:r>
                                            <w:rPr>
                                              <w:rFonts w:ascii="Arial" w:hAnsi="Arial" w:cs="Arial"/>
                                              <w:color w:val="373737"/>
                                              <w:sz w:val="18"/>
                                              <w:szCs w:val="18"/>
                                            </w:rPr>
                                            <w:br/>
                                          </w:r>
                                          <w:proofErr w:type="spellStart"/>
                                          <w:r>
                                            <w:rPr>
                                              <w:rFonts w:ascii="Arial" w:hAnsi="Arial" w:cs="Arial"/>
                                              <w:color w:val="373737"/>
                                              <w:sz w:val="18"/>
                                              <w:szCs w:val="18"/>
                                            </w:rPr>
                                            <w:t>Passahfest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Pessach</w:t>
                                          </w:r>
                                          <w:proofErr w:type="spellEnd"/>
                                          <w:r>
                                            <w:rPr>
                                              <w:rFonts w:ascii="Arial" w:hAnsi="Arial" w:cs="Arial"/>
                                              <w:color w:val="373737"/>
                                              <w:sz w:val="18"/>
                                              <w:szCs w:val="18"/>
                                            </w:rPr>
                                            <w:t>)        7. und 8. Tag          </w:t>
                                          </w:r>
                                          <w:r>
                                            <w:rPr>
                                              <w:rFonts w:ascii="Arial" w:hAnsi="Arial" w:cs="Arial"/>
                                              <w:color w:val="373737"/>
                                              <w:sz w:val="18"/>
                                              <w:szCs w:val="18"/>
                                            </w:rPr>
                                            <w:br/>
                                          </w:r>
                                          <w:proofErr w:type="spellStart"/>
                                          <w:r>
                                            <w:rPr>
                                              <w:rFonts w:ascii="Arial" w:hAnsi="Arial" w:cs="Arial"/>
                                              <w:color w:val="373737"/>
                                              <w:sz w:val="18"/>
                                              <w:szCs w:val="18"/>
                                            </w:rPr>
                                            <w:t>Pfingstfest</w:t>
                                          </w:r>
                                          <w:proofErr w:type="spellEnd"/>
                                          <w:r>
                                            <w:rPr>
                                              <w:rFonts w:ascii="Arial" w:hAnsi="Arial" w:cs="Arial"/>
                                              <w:color w:val="373737"/>
                                              <w:sz w:val="18"/>
                                              <w:szCs w:val="18"/>
                                            </w:rPr>
                                            <w:t xml:space="preserve"> (</w:t>
                                          </w:r>
                                          <w:proofErr w:type="spellStart"/>
                                          <w:r>
                                            <w:rPr>
                                              <w:rFonts w:ascii="Arial" w:hAnsi="Arial" w:cs="Arial"/>
                                              <w:color w:val="373737"/>
                                              <w:sz w:val="18"/>
                                              <w:szCs w:val="18"/>
                                            </w:rPr>
                                            <w:t>Schawuoth</w:t>
                                          </w:r>
                                          <w:proofErr w:type="spellEnd"/>
                                          <w:r>
                                            <w:rPr>
                                              <w:rFonts w:ascii="Arial" w:hAnsi="Arial" w:cs="Arial"/>
                                              <w:color w:val="373737"/>
                                              <w:sz w:val="18"/>
                                              <w:szCs w:val="18"/>
                                            </w:rPr>
                                            <w:t xml:space="preserve">)     1. und 2. Tag              </w:t>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c>
                            <w:tcPr>
                              <w:tcW w:w="300" w:type="dxa"/>
                              <w:vAlign w:val="center"/>
                              <w:hideMark/>
                            </w:tcPr>
                            <w:p w:rsidR="00F65074" w:rsidRDefault="00F65074">
                              <w:pPr>
                                <w:spacing w:line="0" w:lineRule="atLeast"/>
                                <w:rPr>
                                  <w:sz w:val="2"/>
                                  <w:szCs w:val="2"/>
                                </w:rPr>
                              </w:pPr>
                              <w:r>
                                <w:rPr>
                                  <w:sz w:val="2"/>
                                  <w:szCs w:val="2"/>
                                </w:rPr>
                                <w:softHyphen/>
                              </w:r>
                            </w:p>
                          </w:tc>
                        </w:tr>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c>
                            <w:tcPr>
                              <w:tcW w:w="300" w:type="dxa"/>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c>
                      <w:tcPr>
                        <w:tcW w:w="4050" w:type="dxa"/>
                        <w:hideMark/>
                      </w:tcPr>
                      <w:tbl>
                        <w:tblPr>
                          <w:tblW w:w="5000" w:type="pct"/>
                          <w:tblCellMar>
                            <w:left w:w="0" w:type="dxa"/>
                            <w:right w:w="0" w:type="dxa"/>
                          </w:tblCellMar>
                          <w:tblLook w:val="04A0" w:firstRow="1" w:lastRow="0" w:firstColumn="1" w:lastColumn="0" w:noHBand="0" w:noVBand="1"/>
                        </w:tblPr>
                        <w:tblGrid>
                          <w:gridCol w:w="4224"/>
                        </w:tblGrid>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r>
                        <w:tr w:rsidR="00F65074">
                          <w:tc>
                            <w:tcPr>
                              <w:tcW w:w="0" w:type="auto"/>
                              <w:hideMark/>
                            </w:tcPr>
                            <w:tbl>
                              <w:tblPr>
                                <w:tblW w:w="5000" w:type="pct"/>
                                <w:tblCellMar>
                                  <w:left w:w="0" w:type="dxa"/>
                                  <w:right w:w="0" w:type="dxa"/>
                                </w:tblCellMar>
                                <w:tblLook w:val="04A0" w:firstRow="1" w:lastRow="0" w:firstColumn="1" w:lastColumn="0" w:noHBand="0" w:noVBand="1"/>
                              </w:tblPr>
                              <w:tblGrid>
                                <w:gridCol w:w="4224"/>
                              </w:tblGrid>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4224"/>
                                    </w:tblGrid>
                                    <w:tr w:rsidR="00F65074">
                                      <w:tc>
                                        <w:tcPr>
                                          <w:tcW w:w="0" w:type="auto"/>
                                          <w:hideMark/>
                                        </w:tcPr>
                                        <w:p w:rsidR="00F65074" w:rsidRDefault="00F65074">
                                          <w:pPr>
                                            <w:spacing w:line="270" w:lineRule="exact"/>
                                            <w:rPr>
                                              <w:rFonts w:ascii="Arial" w:hAnsi="Arial" w:cs="Arial"/>
                                              <w:color w:val="373737"/>
                                              <w:sz w:val="18"/>
                                              <w:szCs w:val="18"/>
                                            </w:rPr>
                                          </w:pPr>
                                          <w:r w:rsidRPr="00F65074">
                                            <w:rPr>
                                              <w:rFonts w:ascii="Arial" w:hAnsi="Arial" w:cs="Arial"/>
                                              <w:color w:val="373737"/>
                                              <w:sz w:val="18"/>
                                              <w:szCs w:val="18"/>
                                              <w:lang w:val="de-DE"/>
                                            </w:rPr>
                                            <w:t>30. September 2017</w:t>
                                          </w:r>
                                          <w:r w:rsidRPr="00F65074">
                                            <w:rPr>
                                              <w:rFonts w:ascii="Arial" w:hAnsi="Arial" w:cs="Arial"/>
                                              <w:color w:val="373737"/>
                                              <w:sz w:val="18"/>
                                              <w:szCs w:val="18"/>
                                              <w:lang w:val="de-DE"/>
                                            </w:rPr>
                                            <w:br/>
                                            <w:t>21. und 22. September 2017</w:t>
                                          </w:r>
                                          <w:r w:rsidRPr="00F65074">
                                            <w:rPr>
                                              <w:rFonts w:ascii="Arial" w:hAnsi="Arial" w:cs="Arial"/>
                                              <w:color w:val="373737"/>
                                              <w:sz w:val="18"/>
                                              <w:szCs w:val="18"/>
                                              <w:lang w:val="de-DE"/>
                                            </w:rPr>
                                            <w:br/>
                                            <w:t>5. und 6. Oktober 2017</w:t>
                                          </w:r>
                                          <w:r w:rsidRPr="00F65074">
                                            <w:rPr>
                                              <w:rFonts w:ascii="Arial" w:hAnsi="Arial" w:cs="Arial"/>
                                              <w:color w:val="373737"/>
                                              <w:sz w:val="18"/>
                                              <w:szCs w:val="18"/>
                                              <w:lang w:val="de-DE"/>
                                            </w:rPr>
                                            <w:br/>
                                            <w:t xml:space="preserve">12. </w:t>
                                          </w:r>
                                          <w:proofErr w:type="spellStart"/>
                                          <w:r>
                                            <w:rPr>
                                              <w:rFonts w:ascii="Arial" w:hAnsi="Arial" w:cs="Arial"/>
                                              <w:color w:val="373737"/>
                                              <w:sz w:val="18"/>
                                              <w:szCs w:val="18"/>
                                            </w:rPr>
                                            <w:t>Oktober</w:t>
                                          </w:r>
                                          <w:proofErr w:type="spellEnd"/>
                                          <w:r>
                                            <w:rPr>
                                              <w:rFonts w:ascii="Arial" w:hAnsi="Arial" w:cs="Arial"/>
                                              <w:color w:val="373737"/>
                                              <w:sz w:val="18"/>
                                              <w:szCs w:val="18"/>
                                            </w:rPr>
                                            <w:t xml:space="preserve"> 2017</w:t>
                                          </w:r>
                                          <w:r>
                                            <w:rPr>
                                              <w:rFonts w:ascii="Arial" w:hAnsi="Arial" w:cs="Arial"/>
                                              <w:color w:val="373737"/>
                                              <w:sz w:val="18"/>
                                              <w:szCs w:val="18"/>
                                            </w:rPr>
                                            <w:br/>
                                            <w:t xml:space="preserve">13. </w:t>
                                          </w:r>
                                          <w:proofErr w:type="spellStart"/>
                                          <w:r>
                                            <w:rPr>
                                              <w:rFonts w:ascii="Arial" w:hAnsi="Arial" w:cs="Arial"/>
                                              <w:color w:val="373737"/>
                                              <w:sz w:val="18"/>
                                              <w:szCs w:val="18"/>
                                            </w:rPr>
                                            <w:t>Oktober</w:t>
                                          </w:r>
                                          <w:proofErr w:type="spellEnd"/>
                                          <w:r>
                                            <w:rPr>
                                              <w:rFonts w:ascii="Arial" w:hAnsi="Arial" w:cs="Arial"/>
                                              <w:color w:val="373737"/>
                                              <w:sz w:val="18"/>
                                              <w:szCs w:val="18"/>
                                            </w:rPr>
                                            <w:t xml:space="preserve"> 2017</w:t>
                                          </w:r>
                                          <w:r>
                                            <w:rPr>
                                              <w:rFonts w:ascii="Arial" w:hAnsi="Arial" w:cs="Arial"/>
                                              <w:color w:val="373737"/>
                                              <w:sz w:val="18"/>
                                              <w:szCs w:val="18"/>
                                            </w:rPr>
                                            <w:br/>
                                            <w:t xml:space="preserve">31. </w:t>
                                          </w:r>
                                          <w:proofErr w:type="spellStart"/>
                                          <w:r>
                                            <w:rPr>
                                              <w:rFonts w:ascii="Arial" w:hAnsi="Arial" w:cs="Arial"/>
                                              <w:color w:val="373737"/>
                                              <w:sz w:val="18"/>
                                              <w:szCs w:val="18"/>
                                            </w:rPr>
                                            <w:t>März</w:t>
                                          </w:r>
                                          <w:proofErr w:type="spellEnd"/>
                                          <w:r>
                                            <w:rPr>
                                              <w:rFonts w:ascii="Arial" w:hAnsi="Arial" w:cs="Arial"/>
                                              <w:color w:val="373737"/>
                                              <w:sz w:val="18"/>
                                              <w:szCs w:val="18"/>
                                            </w:rPr>
                                            <w:t xml:space="preserve"> und 1. April 2018</w:t>
                                          </w:r>
                                          <w:r>
                                            <w:rPr>
                                              <w:rFonts w:ascii="Arial" w:hAnsi="Arial" w:cs="Arial"/>
                                              <w:color w:val="373737"/>
                                              <w:sz w:val="18"/>
                                              <w:szCs w:val="18"/>
                                            </w:rPr>
                                            <w:br/>
                                            <w:t>6. und 7. April 2018</w:t>
                                          </w:r>
                                          <w:r>
                                            <w:rPr>
                                              <w:rFonts w:ascii="Arial" w:hAnsi="Arial" w:cs="Arial"/>
                                              <w:color w:val="373737"/>
                                              <w:sz w:val="18"/>
                                              <w:szCs w:val="18"/>
                                            </w:rPr>
                                            <w:br/>
                                            <w:t xml:space="preserve">20. und 21. Mai 2018 </w:t>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r>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r w:rsidR="00F65074" w:rsidT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65074">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60"/>
                  </w:tblGrid>
                  <w:tr w:rsidR="00F65074" w:rsidRP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8760"/>
                        </w:tblGrid>
                        <w:tr w:rsidR="00F65074" w:rsidRPr="00F65074">
                          <w:tc>
                            <w:tcPr>
                              <w:tcW w:w="0" w:type="auto"/>
                              <w:hideMark/>
                            </w:tcPr>
                            <w:p w:rsidR="00F65074" w:rsidRPr="00F65074" w:rsidRDefault="00F65074">
                              <w:pPr>
                                <w:spacing w:line="270" w:lineRule="exact"/>
                                <w:rPr>
                                  <w:rFonts w:ascii="Arial" w:hAnsi="Arial" w:cs="Arial"/>
                                  <w:color w:val="373737"/>
                                  <w:sz w:val="18"/>
                                  <w:szCs w:val="18"/>
                                  <w:lang w:val="de-DE"/>
                                </w:rPr>
                              </w:pPr>
                              <w:r w:rsidRPr="00F65074">
                                <w:rPr>
                                  <w:rFonts w:ascii="Arial" w:hAnsi="Arial" w:cs="Arial"/>
                                  <w:color w:val="373737"/>
                                  <w:sz w:val="18"/>
                                  <w:szCs w:val="18"/>
                                  <w:lang w:val="de-DE"/>
                                </w:rPr>
                                <w:t xml:space="preserve">Gemäß Ziffer VI. der o. g. Anlage zur Schulbesuchsverordnung werden Schülerinnen und Schüler, die der islamischen Religion angehören, am Fest des Fastenbrechens sowie am Opferfest (jeweils) einen Tag beurlaubt. </w:t>
                              </w:r>
                            </w:p>
                          </w:tc>
                        </w:tr>
                      </w:tbl>
                      <w:p w:rsidR="00F65074" w:rsidRPr="00F65074" w:rsidRDefault="00F65074">
                        <w:pPr>
                          <w:rPr>
                            <w:rFonts w:asciiTheme="minorHAnsi" w:hAnsiTheme="minorHAnsi" w:cstheme="minorBidi"/>
                            <w:sz w:val="22"/>
                            <w:szCs w:val="22"/>
                            <w:lang w:val="de-DE"/>
                          </w:rPr>
                        </w:pPr>
                      </w:p>
                    </w:tc>
                  </w:tr>
                </w:tbl>
                <w:p w:rsidR="00F65074" w:rsidRPr="00F65074" w:rsidRDefault="00F65074">
                  <w:pPr>
                    <w:rPr>
                      <w:rFonts w:asciiTheme="minorHAnsi" w:hAnsiTheme="minorHAnsi" w:cstheme="minorBidi"/>
                      <w:sz w:val="22"/>
                      <w:szCs w:val="22"/>
                      <w:lang w:val="de-DE"/>
                    </w:rPr>
                  </w:pP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r w:rsidR="00F65074" w:rsidT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F65074">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65074">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36"/>
                                <w:gridCol w:w="4224"/>
                              </w:tblGrid>
                              <w:tr w:rsidR="00F65074">
                                <w:tc>
                                  <w:tcPr>
                                    <w:tcW w:w="4350" w:type="dxa"/>
                                    <w:hideMark/>
                                  </w:tcPr>
                                  <w:tbl>
                                    <w:tblPr>
                                      <w:tblW w:w="5000" w:type="pct"/>
                                      <w:tblCellMar>
                                        <w:left w:w="0" w:type="dxa"/>
                                        <w:right w:w="0" w:type="dxa"/>
                                      </w:tblCellMar>
                                      <w:tblLook w:val="04A0" w:firstRow="1" w:lastRow="0" w:firstColumn="1" w:lastColumn="0" w:noHBand="0" w:noVBand="1"/>
                                    </w:tblPr>
                                    <w:tblGrid>
                                      <w:gridCol w:w="4236"/>
                                      <w:gridCol w:w="300"/>
                                    </w:tblGrid>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c>
                                        <w:tcPr>
                                          <w:tcW w:w="300" w:type="dxa"/>
                                          <w:vAlign w:val="center"/>
                                          <w:hideMark/>
                                        </w:tcPr>
                                        <w:p w:rsidR="00F65074" w:rsidRDefault="00F65074">
                                          <w:pPr>
                                            <w:spacing w:line="0" w:lineRule="atLeast"/>
                                            <w:rPr>
                                              <w:sz w:val="2"/>
                                              <w:szCs w:val="2"/>
                                            </w:rPr>
                                          </w:pPr>
                                          <w:r>
                                            <w:rPr>
                                              <w:sz w:val="2"/>
                                              <w:szCs w:val="2"/>
                                            </w:rPr>
                                            <w:softHyphen/>
                                          </w:r>
                                        </w:p>
                                      </w:tc>
                                    </w:tr>
                                    <w:tr w:rsidR="00F65074">
                                      <w:tc>
                                        <w:tcPr>
                                          <w:tcW w:w="0" w:type="auto"/>
                                          <w:hideMark/>
                                        </w:tcPr>
                                        <w:tbl>
                                          <w:tblPr>
                                            <w:tblW w:w="5000" w:type="pct"/>
                                            <w:tblCellMar>
                                              <w:left w:w="0" w:type="dxa"/>
                                              <w:right w:w="0" w:type="dxa"/>
                                            </w:tblCellMar>
                                            <w:tblLook w:val="04A0" w:firstRow="1" w:lastRow="0" w:firstColumn="1" w:lastColumn="0" w:noHBand="0" w:noVBand="1"/>
                                          </w:tblPr>
                                          <w:tblGrid>
                                            <w:gridCol w:w="4236"/>
                                          </w:tblGrid>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4236"/>
                                                </w:tblGrid>
                                                <w:tr w:rsidR="00F65074">
                                                  <w:tc>
                                                    <w:tcPr>
                                                      <w:tcW w:w="0" w:type="auto"/>
                                                      <w:hideMark/>
                                                    </w:tcPr>
                                                    <w:p w:rsidR="00F65074" w:rsidRDefault="00F65074">
                                                      <w:pPr>
                                                        <w:spacing w:line="270" w:lineRule="exact"/>
                                                        <w:rPr>
                                                          <w:rFonts w:ascii="Arial" w:hAnsi="Arial" w:cs="Arial"/>
                                                          <w:color w:val="373737"/>
                                                          <w:sz w:val="18"/>
                                                          <w:szCs w:val="18"/>
                                                        </w:rPr>
                                                      </w:pPr>
                                                      <w:proofErr w:type="spellStart"/>
                                                      <w:r>
                                                        <w:rPr>
                                                          <w:rFonts w:ascii="Arial" w:hAnsi="Arial" w:cs="Arial"/>
                                                          <w:color w:val="373737"/>
                                                          <w:sz w:val="18"/>
                                                          <w:szCs w:val="18"/>
                                                        </w:rPr>
                                                        <w:t>Opferfest</w:t>
                                                      </w:r>
                                                      <w:proofErr w:type="spellEnd"/>
                                                      <w:r>
                                                        <w:rPr>
                                                          <w:rFonts w:ascii="Arial" w:hAnsi="Arial" w:cs="Arial"/>
                                                          <w:color w:val="373737"/>
                                                          <w:sz w:val="18"/>
                                                          <w:szCs w:val="18"/>
                                                        </w:rPr>
                                                        <w:t xml:space="preserve"> 2017</w:t>
                                                      </w:r>
                                                      <w:r>
                                                        <w:rPr>
                                                          <w:rFonts w:ascii="Arial" w:hAnsi="Arial" w:cs="Arial"/>
                                                          <w:color w:val="373737"/>
                                                          <w:sz w:val="18"/>
                                                          <w:szCs w:val="18"/>
                                                        </w:rPr>
                                                        <w:br/>
                                                      </w:r>
                                                      <w:proofErr w:type="spellStart"/>
                                                      <w:r>
                                                        <w:rPr>
                                                          <w:rFonts w:ascii="Arial" w:hAnsi="Arial" w:cs="Arial"/>
                                                          <w:color w:val="373737"/>
                                                          <w:sz w:val="18"/>
                                                          <w:szCs w:val="18"/>
                                                        </w:rPr>
                                                        <w:t>Fastenbrechen</w:t>
                                                      </w:r>
                                                      <w:proofErr w:type="spellEnd"/>
                                                      <w:r>
                                                        <w:rPr>
                                                          <w:rFonts w:ascii="Arial" w:hAnsi="Arial" w:cs="Arial"/>
                                                          <w:color w:val="373737"/>
                                                          <w:sz w:val="18"/>
                                                          <w:szCs w:val="18"/>
                                                        </w:rPr>
                                                        <w:t>/Ramadan (</w:t>
                                                      </w:r>
                                                      <w:proofErr w:type="spellStart"/>
                                                      <w:r>
                                                        <w:rPr>
                                                          <w:rFonts w:ascii="Arial" w:hAnsi="Arial" w:cs="Arial"/>
                                                          <w:color w:val="373737"/>
                                                          <w:sz w:val="18"/>
                                                          <w:szCs w:val="18"/>
                                                        </w:rPr>
                                                        <w:t>Zuckerfest</w:t>
                                                      </w:r>
                                                      <w:proofErr w:type="spellEnd"/>
                                                      <w:r>
                                                        <w:rPr>
                                                          <w:rFonts w:ascii="Arial" w:hAnsi="Arial" w:cs="Arial"/>
                                                          <w:color w:val="373737"/>
                                                          <w:sz w:val="18"/>
                                                          <w:szCs w:val="18"/>
                                                        </w:rPr>
                                                        <w:t xml:space="preserve">)  </w:t>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c>
                                        <w:tcPr>
                                          <w:tcW w:w="300" w:type="dxa"/>
                                          <w:vAlign w:val="center"/>
                                          <w:hideMark/>
                                        </w:tcPr>
                                        <w:p w:rsidR="00F65074" w:rsidRDefault="00F65074">
                                          <w:pPr>
                                            <w:spacing w:line="0" w:lineRule="atLeast"/>
                                            <w:rPr>
                                              <w:sz w:val="2"/>
                                              <w:szCs w:val="2"/>
                                            </w:rPr>
                                          </w:pPr>
                                          <w:r>
                                            <w:rPr>
                                              <w:sz w:val="2"/>
                                              <w:szCs w:val="2"/>
                                            </w:rPr>
                                            <w:softHyphen/>
                                          </w:r>
                                        </w:p>
                                      </w:tc>
                                    </w:tr>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c>
                                        <w:tcPr>
                                          <w:tcW w:w="300" w:type="dxa"/>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c>
                                  <w:tcPr>
                                    <w:tcW w:w="4050" w:type="dxa"/>
                                    <w:hideMark/>
                                  </w:tcPr>
                                  <w:tbl>
                                    <w:tblPr>
                                      <w:tblW w:w="5000" w:type="pct"/>
                                      <w:tblCellMar>
                                        <w:left w:w="0" w:type="dxa"/>
                                        <w:right w:w="0" w:type="dxa"/>
                                      </w:tblCellMar>
                                      <w:tblLook w:val="04A0" w:firstRow="1" w:lastRow="0" w:firstColumn="1" w:lastColumn="0" w:noHBand="0" w:noVBand="1"/>
                                    </w:tblPr>
                                    <w:tblGrid>
                                      <w:gridCol w:w="4224"/>
                                    </w:tblGrid>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r>
                                    <w:tr w:rsidR="00F65074">
                                      <w:tc>
                                        <w:tcPr>
                                          <w:tcW w:w="0" w:type="auto"/>
                                          <w:hideMark/>
                                        </w:tcPr>
                                        <w:tbl>
                                          <w:tblPr>
                                            <w:tblW w:w="5000" w:type="pct"/>
                                            <w:tblCellMar>
                                              <w:left w:w="0" w:type="dxa"/>
                                              <w:right w:w="0" w:type="dxa"/>
                                            </w:tblCellMar>
                                            <w:tblLook w:val="04A0" w:firstRow="1" w:lastRow="0" w:firstColumn="1" w:lastColumn="0" w:noHBand="0" w:noVBand="1"/>
                                          </w:tblPr>
                                          <w:tblGrid>
                                            <w:gridCol w:w="4224"/>
                                          </w:tblGrid>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4224"/>
                                                </w:tblGrid>
                                                <w:tr w:rsidR="00F65074">
                                                  <w:tc>
                                                    <w:tcPr>
                                                      <w:tcW w:w="0" w:type="auto"/>
                                                      <w:hideMark/>
                                                    </w:tcPr>
                                                    <w:p w:rsidR="00F65074" w:rsidRDefault="00F65074">
                                                      <w:pPr>
                                                        <w:spacing w:line="270" w:lineRule="exact"/>
                                                        <w:rPr>
                                                          <w:rFonts w:ascii="Arial" w:hAnsi="Arial" w:cs="Arial"/>
                                                          <w:color w:val="373737"/>
                                                          <w:sz w:val="18"/>
                                                          <w:szCs w:val="18"/>
                                                        </w:rPr>
                                                      </w:pPr>
                                                      <w:r>
                                                        <w:rPr>
                                                          <w:rFonts w:ascii="Arial" w:hAnsi="Arial" w:cs="Arial"/>
                                                          <w:color w:val="373737"/>
                                                          <w:sz w:val="18"/>
                                                          <w:szCs w:val="18"/>
                                                        </w:rPr>
                                                        <w:t xml:space="preserve">1. </w:t>
                                                      </w:r>
                                                      <w:proofErr w:type="spellStart"/>
                                                      <w:r>
                                                        <w:rPr>
                                                          <w:rFonts w:ascii="Arial" w:hAnsi="Arial" w:cs="Arial"/>
                                                          <w:color w:val="373737"/>
                                                          <w:sz w:val="18"/>
                                                          <w:szCs w:val="18"/>
                                                        </w:rPr>
                                                        <w:t>bis</w:t>
                                                      </w:r>
                                                      <w:proofErr w:type="spellEnd"/>
                                                      <w:r>
                                                        <w:rPr>
                                                          <w:rFonts w:ascii="Arial" w:hAnsi="Arial" w:cs="Arial"/>
                                                          <w:color w:val="373737"/>
                                                          <w:sz w:val="18"/>
                                                          <w:szCs w:val="18"/>
                                                        </w:rPr>
                                                        <w:t xml:space="preserve"> 4. September 2017</w:t>
                                                      </w:r>
                                                      <w:r>
                                                        <w:rPr>
                                                          <w:rFonts w:ascii="Arial" w:hAnsi="Arial" w:cs="Arial"/>
                                                          <w:color w:val="373737"/>
                                                          <w:sz w:val="18"/>
                                                          <w:szCs w:val="18"/>
                                                        </w:rPr>
                                                        <w:br/>
                                                        <w:t xml:space="preserve">15. </w:t>
                                                      </w:r>
                                                      <w:proofErr w:type="spellStart"/>
                                                      <w:r>
                                                        <w:rPr>
                                                          <w:rFonts w:ascii="Arial" w:hAnsi="Arial" w:cs="Arial"/>
                                                          <w:color w:val="373737"/>
                                                          <w:sz w:val="18"/>
                                                          <w:szCs w:val="18"/>
                                                        </w:rPr>
                                                        <w:t>bis</w:t>
                                                      </w:r>
                                                      <w:proofErr w:type="spellEnd"/>
                                                      <w:r>
                                                        <w:rPr>
                                                          <w:rFonts w:ascii="Arial" w:hAnsi="Arial" w:cs="Arial"/>
                                                          <w:color w:val="373737"/>
                                                          <w:sz w:val="18"/>
                                                          <w:szCs w:val="18"/>
                                                        </w:rPr>
                                                        <w:t xml:space="preserve"> 17. Juni 2018 </w:t>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r>
                                    <w:tr w:rsidR="00F65074">
                                      <w:trPr>
                                        <w:trHeight w:val="150"/>
                                      </w:trPr>
                                      <w:tc>
                                        <w:tcPr>
                                          <w:tcW w:w="0" w:type="auto"/>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r w:rsid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65074">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60"/>
                              </w:tblGrid>
                              <w:tr w:rsidR="00F65074" w:rsidRPr="00F65074">
                                <w:tc>
                                  <w:tcPr>
                                    <w:tcW w:w="0" w:type="auto"/>
                                    <w:vAlign w:val="center"/>
                                    <w:hideMark/>
                                  </w:tcPr>
                                  <w:tbl>
                                    <w:tblPr>
                                      <w:tblW w:w="5000" w:type="pct"/>
                                      <w:tblCellMar>
                                        <w:left w:w="0" w:type="dxa"/>
                                        <w:right w:w="0" w:type="dxa"/>
                                      </w:tblCellMar>
                                      <w:tblLook w:val="04A0" w:firstRow="1" w:lastRow="0" w:firstColumn="1" w:lastColumn="0" w:noHBand="0" w:noVBand="1"/>
                                    </w:tblPr>
                                    <w:tblGrid>
                                      <w:gridCol w:w="8760"/>
                                    </w:tblGrid>
                                    <w:tr w:rsidR="00F65074" w:rsidRPr="00F65074">
                                      <w:tc>
                                        <w:tcPr>
                                          <w:tcW w:w="0" w:type="auto"/>
                                          <w:hideMark/>
                                        </w:tcPr>
                                        <w:p w:rsidR="00F65074" w:rsidRPr="00F65074" w:rsidRDefault="00F65074">
                                          <w:pPr>
                                            <w:spacing w:line="270" w:lineRule="exact"/>
                                            <w:rPr>
                                              <w:rFonts w:ascii="Arial" w:hAnsi="Arial" w:cs="Arial"/>
                                              <w:color w:val="373737"/>
                                              <w:sz w:val="18"/>
                                              <w:szCs w:val="18"/>
                                              <w:lang w:val="de-DE"/>
                                            </w:rPr>
                                          </w:pPr>
                                          <w:r w:rsidRPr="00F65074">
                                            <w:rPr>
                                              <w:rFonts w:ascii="Arial" w:hAnsi="Arial" w:cs="Arial"/>
                                              <w:color w:val="373737"/>
                                              <w:sz w:val="18"/>
                                              <w:szCs w:val="18"/>
                                              <w:lang w:val="de-DE"/>
                                            </w:rPr>
                                            <w:t>Auf Grund unterschiedlicher Berechnungsgrundlagen können die Festtage um einen Tag variieren. Es kann deshalb auch Anträgen auf Beurlaubung an einem um einen Tag abweichenden Tag stattgegeben werden.</w:t>
                                          </w:r>
                                          <w:r w:rsidRPr="00F65074">
                                            <w:rPr>
                                              <w:rFonts w:ascii="Arial" w:hAnsi="Arial" w:cs="Arial"/>
                                              <w:color w:val="373737"/>
                                              <w:sz w:val="18"/>
                                              <w:szCs w:val="18"/>
                                              <w:lang w:val="de-DE"/>
                                            </w:rPr>
                                            <w:br/>
                                          </w:r>
                                          <w:r w:rsidRPr="00F65074">
                                            <w:rPr>
                                              <w:rFonts w:ascii="Arial" w:hAnsi="Arial" w:cs="Arial"/>
                                              <w:color w:val="373737"/>
                                              <w:sz w:val="18"/>
                                              <w:szCs w:val="18"/>
                                              <w:lang w:val="de-DE"/>
                                            </w:rPr>
                                            <w:br/>
                                            <w:t>Dem Antrag auf Beurlaubung vom Unterricht, der von dem bzw. der Erziehungsberechtigten oder bei volljährigen Schülerinnen und Schülern von diesen selbst zu stellen ist, muss – soweit die Zugehörigkeit zu der jeweiligen Religions- oder Weltanschauungsgemeinschaft nicht auf andere Weise nachgewiesen ist – eine schriftliche Bestätigung beigefügt sein.</w:t>
                                          </w:r>
                                          <w:r w:rsidRPr="00F65074">
                                            <w:rPr>
                                              <w:rFonts w:ascii="Arial" w:hAnsi="Arial" w:cs="Arial"/>
                                              <w:color w:val="373737"/>
                                              <w:sz w:val="18"/>
                                              <w:szCs w:val="18"/>
                                              <w:lang w:val="de-DE"/>
                                            </w:rPr>
                                            <w:br/>
                                          </w:r>
                                          <w:r w:rsidRPr="00F65074">
                                            <w:rPr>
                                              <w:rFonts w:ascii="Arial" w:hAnsi="Arial" w:cs="Arial"/>
                                              <w:color w:val="373737"/>
                                              <w:sz w:val="18"/>
                                              <w:szCs w:val="18"/>
                                              <w:lang w:val="de-DE"/>
                                            </w:rPr>
                                            <w:br/>
                                            <w:t xml:space="preserve">Zuständig für die Beurlaubung ist nach § 4 Abs. 5 Schulbesuchsverordnung die Klassenlehrerin beziehungsweise der Klassenlehrer. </w:t>
                                          </w:r>
                                        </w:p>
                                      </w:tc>
                                    </w:tr>
                                  </w:tbl>
                                  <w:p w:rsidR="00F65074" w:rsidRPr="00F65074" w:rsidRDefault="00F65074">
                                    <w:pPr>
                                      <w:rPr>
                                        <w:rFonts w:asciiTheme="minorHAnsi" w:hAnsiTheme="minorHAnsi" w:cstheme="minorBidi"/>
                                        <w:sz w:val="22"/>
                                        <w:szCs w:val="22"/>
                                        <w:lang w:val="de-DE"/>
                                      </w:rPr>
                                    </w:pPr>
                                  </w:p>
                                </w:tc>
                              </w:tr>
                            </w:tbl>
                            <w:p w:rsidR="00F65074" w:rsidRPr="00F65074" w:rsidRDefault="00F65074">
                              <w:pPr>
                                <w:rPr>
                                  <w:rFonts w:asciiTheme="minorHAnsi" w:hAnsiTheme="minorHAnsi" w:cstheme="minorBidi"/>
                                  <w:sz w:val="22"/>
                                  <w:szCs w:val="22"/>
                                  <w:lang w:val="de-DE"/>
                                </w:rPr>
                              </w:pP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r w:rsidR="00F65074">
                          <w:trPr>
                            <w:trHeight w:val="150"/>
                          </w:trPr>
                          <w:tc>
                            <w:tcPr>
                              <w:tcW w:w="300" w:type="dxa"/>
                              <w:shd w:val="clear" w:color="auto" w:fill="FFFFFF"/>
                              <w:vAlign w:val="center"/>
                              <w:hideMark/>
                            </w:tcPr>
                            <w:p w:rsidR="00F65074" w:rsidRDefault="00F65074">
                              <w:pPr>
                                <w:spacing w:line="0" w:lineRule="atLeast"/>
                                <w:rPr>
                                  <w:sz w:val="2"/>
                                  <w:szCs w:val="2"/>
                                </w:rPr>
                              </w:pPr>
                              <w:r>
                                <w:rPr>
                                  <w:sz w:val="2"/>
                                  <w:szCs w:val="2"/>
                                </w:rPr>
                                <w:softHyphen/>
                              </w:r>
                            </w:p>
                          </w:tc>
                          <w:tc>
                            <w:tcPr>
                              <w:tcW w:w="0" w:type="auto"/>
                              <w:shd w:val="clear" w:color="auto" w:fill="FFFFFF"/>
                              <w:vAlign w:val="center"/>
                              <w:hideMark/>
                            </w:tcPr>
                            <w:p w:rsidR="00F65074" w:rsidRDefault="00F65074">
                              <w:pPr>
                                <w:spacing w:line="0" w:lineRule="atLeast"/>
                                <w:rPr>
                                  <w:sz w:val="2"/>
                                  <w:szCs w:val="2"/>
                                </w:rPr>
                              </w:pPr>
                              <w:r>
                                <w:rPr>
                                  <w:sz w:val="2"/>
                                  <w:szCs w:val="2"/>
                                </w:rPr>
                                <w:softHyphen/>
                              </w:r>
                            </w:p>
                          </w:tc>
                          <w:tc>
                            <w:tcPr>
                              <w:tcW w:w="300" w:type="dxa"/>
                              <w:shd w:val="clear" w:color="auto" w:fill="FFFFFF"/>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bl>
                <w:p w:rsidR="00F65074" w:rsidRDefault="00F65074">
                  <w:pPr>
                    <w:rPr>
                      <w:rFonts w:asciiTheme="minorHAnsi" w:hAnsiTheme="minorHAnsi" w:cstheme="minorBidi"/>
                      <w:sz w:val="22"/>
                      <w:szCs w:val="22"/>
                    </w:rPr>
                  </w:pPr>
                </w:p>
              </w:tc>
            </w:tr>
            <w:tr w:rsidR="00F65074">
              <w:trPr>
                <w:trHeight w:val="75"/>
              </w:trPr>
              <w:tc>
                <w:tcPr>
                  <w:tcW w:w="0" w:type="auto"/>
                  <w:vAlign w:val="center"/>
                  <w:hideMark/>
                </w:tcPr>
                <w:p w:rsidR="00F65074" w:rsidRDefault="00F65074">
                  <w:pPr>
                    <w:spacing w:line="0" w:lineRule="atLeast"/>
                    <w:rPr>
                      <w:sz w:val="2"/>
                      <w:szCs w:val="2"/>
                    </w:rPr>
                  </w:pPr>
                  <w:r>
                    <w:rPr>
                      <w:sz w:val="2"/>
                      <w:szCs w:val="2"/>
                    </w:rPr>
                    <w:softHyphen/>
                  </w:r>
                </w:p>
              </w:tc>
            </w:tr>
          </w:tbl>
          <w:p w:rsidR="00F65074" w:rsidRDefault="00F65074">
            <w:pPr>
              <w:rPr>
                <w:rFonts w:asciiTheme="minorHAnsi" w:hAnsiTheme="minorHAnsi" w:cstheme="minorBidi"/>
                <w:sz w:val="22"/>
                <w:szCs w:val="22"/>
              </w:rPr>
            </w:pPr>
          </w:p>
        </w:tc>
      </w:tr>
    </w:tbl>
    <w:p w:rsidR="001D668F" w:rsidRDefault="001D668F">
      <w:bookmarkStart w:id="1" w:name="_GoBack"/>
      <w:bookmarkEnd w:id="1"/>
    </w:p>
    <w:sectPr w:rsidR="001D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74"/>
    <w:rsid w:val="001D668F"/>
    <w:rsid w:val="00F6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2C58C-F2AD-4B86-BE04-BD6C5AF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074"/>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schwenold</dc:creator>
  <cp:keywords/>
  <dc:description/>
  <cp:lastModifiedBy>schwenold</cp:lastModifiedBy>
  <cp:revision>1</cp:revision>
  <dcterms:created xsi:type="dcterms:W3CDTF">2017-07-13T08:00:00Z</dcterms:created>
  <dcterms:modified xsi:type="dcterms:W3CDTF">2017-07-13T08:00:00Z</dcterms:modified>
</cp:coreProperties>
</file>